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164"/>
        <w:gridCol w:w="2154"/>
      </w:tblGrid>
      <w:tr>
        <w:tc>
          <w:tcPr>
            <w:tcW w:type="dxa" w:w="5074"/>
            <w:vAlign w:val="center"/>
            <w:tcMar>
              <w:top w:w="0" w:type="dxa"/>
              <w:start w:w="0" w:type="dxa"/>
              <w:bottom w:w="70" w:type="dxa"/>
              <w:end w:w="180" w:type="dxa"/>
            </w:tcMar>
          </w:tcPr>
          <w:p>
            <w:pPr>
              <w:spacing w:before="0" w:after="60" w:line="252" w:lineRule="auto"/>
            </w:pPr>
            <w:r>
              <w:rPr>
                <w:rFonts w:ascii="Arial" w:hAnsi="Arial"/>
                <w:b/>
                <w:color w:val="A84F35"/>
                <w:sz w:val="16"/>
              </w:rPr>
              <w:t>АНАЛИТИК SOC L1 · DFIR · PENTEST</w:t>
            </w:r>
          </w:p>
          <w:p>
            <w:pPr>
              <w:spacing w:before="0" w:after="80" w:line="240" w:lineRule="auto"/>
            </w:pPr>
            <w:r>
              <w:rPr>
                <w:rFonts w:ascii="Arial" w:hAnsi="Arial"/>
                <w:b/>
                <w:color w:val="1D2D27"/>
                <w:sz w:val="50"/>
              </w:rPr>
              <w:t>Филипп Огородников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color w:val="343A40"/>
                <w:sz w:val="22"/>
              </w:rPr>
              <w:t>SOC-аналитик L1, развивающийся в направлении Purple Team</w:t>
            </w:r>
          </w:p>
        </w:tc>
        <w:tc>
          <w:tcPr>
            <w:tcW w:type="dxa" w:w="5074"/>
            <w:vAlign w:val="center"/>
            <w:tcMar>
              <w:top w:w="0" w:type="dxa"/>
              <w:start w:w="80" w:type="dxa"/>
              <w:bottom w:w="7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170000" cy="117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ro-photo-docx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00" cy="117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80" w:line="252" w:lineRule="auto"/>
        <w:pBdr>
          <w:bottom w:val="single" w:sz="14" w:space="3" w:color="275D4D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030"/>
        <w:gridCol w:w="2030"/>
        <w:gridCol w:w="2030"/>
        <w:gridCol w:w="2030"/>
        <w:gridCol w:w="2030"/>
      </w:tblGrid>
      <w:tr>
        <w:tc>
          <w:tcPr>
            <w:tcW w:type="dxa" w:w="1191"/>
            <w:shd w:fill="EAF1ED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color w:val="4D545B"/>
                <w:sz w:val="15"/>
              </w:rPr>
              <w:t>Москва</w:t>
            </w:r>
          </w:p>
        </w:tc>
        <w:tc>
          <w:tcPr>
            <w:tcW w:type="dxa" w:w="1814"/>
            <w:shd w:fill="EAF1ED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color w:val="4D545B"/>
                <w:sz w:val="15"/>
              </w:rPr>
              <w:t>+7 912 105-98-28</w:t>
            </w:r>
          </w:p>
        </w:tc>
        <w:tc>
          <w:tcPr>
            <w:tcW w:type="dxa" w:w="2381"/>
            <w:shd w:fill="EAF1ED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color w:val="4D545B"/>
                <w:sz w:val="15"/>
              </w:rPr>
              <w:t>scrockwork@gmail.com</w:t>
            </w:r>
          </w:p>
        </w:tc>
        <w:tc>
          <w:tcPr>
            <w:tcW w:type="dxa" w:w="1814"/>
            <w:shd w:fill="EAF1ED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color w:val="4D545B"/>
                <w:sz w:val="15"/>
              </w:rPr>
              <w:t>t.me/scrock_0</w:t>
            </w:r>
          </w:p>
        </w:tc>
        <w:tc>
          <w:tcPr>
            <w:tcW w:type="dxa" w:w="2041"/>
            <w:shd w:fill="EAF1ED"/>
            <w:tcMar>
              <w:top w:w="85" w:type="dxa"/>
              <w:start w:w="90" w:type="dxa"/>
              <w:bottom w:w="85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/>
                <w:b w:val="0"/>
                <w:color w:val="4D545B"/>
                <w:sz w:val="15"/>
              </w:rPr>
              <w:t>resume.scrock.ru</w:t>
            </w:r>
          </w:p>
        </w:tc>
      </w:tr>
    </w:tbl>
    <w:p>
      <w:pPr>
        <w:spacing w:before="140" w:after="100" w:line="240" w:lineRule="auto"/>
        <w:keepNext/>
        <w:pBdr>
          <w:bottom w:val="single" w:sz="5" w:space="3" w:color="AEB8BD"/>
        </w:pBdr>
      </w:pPr>
      <w:r>
        <w:rPr>
          <w:rFonts w:ascii="Arial" w:hAnsi="Arial"/>
          <w:b/>
          <w:color w:val="1D2D27"/>
          <w:sz w:val="26"/>
        </w:rPr>
        <w:t>Профессиональный профиль</w:t>
      </w:r>
    </w:p>
    <w:p>
      <w:pPr>
        <w:spacing w:before="0" w:after="20" w:line="266" w:lineRule="auto"/>
      </w:pPr>
      <w:r>
        <w:rPr>
          <w:rFonts w:ascii="Arial" w:hAnsi="Arial"/>
          <w:b w:val="0"/>
          <w:color w:val="333A40"/>
          <w:sz w:val="18"/>
        </w:rPr>
        <w:t>Действующий аналитик SOC L1. Самостоятельно разбираю алерты SIEM: составляю KQL-запросы в Elastic, определяю масштаб события, закрываю или эскалирую его и готовлю рекомендации. Развиваю практику DFIR и атакующих техник на лабораторных стендах, чтобы работать на стыке обнаружения, расследования и проверки защищённости. Есть опыт преподавания студентам и экспертной оценки участников профильных соревнований.</w:t>
      </w:r>
    </w:p>
    <w:p>
      <w:pPr>
        <w:spacing w:before="140" w:after="100" w:line="240" w:lineRule="auto"/>
        <w:keepNext/>
        <w:pBdr>
          <w:bottom w:val="single" w:sz="5" w:space="3" w:color="AEB8BD"/>
        </w:pBdr>
      </w:pPr>
      <w:r>
        <w:rPr>
          <w:rFonts w:ascii="Arial" w:hAnsi="Arial"/>
          <w:b/>
          <w:color w:val="1D2D27"/>
          <w:sz w:val="26"/>
        </w:rPr>
        <w:t>Опыт работы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94"/>
        <w:gridCol w:w="2324"/>
      </w:tblGrid>
      <w:tr>
        <w:trPr>
          <w:cantSplit/>
        </w:trPr>
        <w:tc>
          <w:tcPr>
            <w:tcW w:type="dxa" w:w="5074"/>
            <w:tcMar>
              <w:top w:w="35" w:type="dxa"/>
              <w:start w:w="0" w:type="dxa"/>
              <w:bottom w:w="25" w:type="dxa"/>
              <w:end w:w="100" w:type="dxa"/>
            </w:tcMar>
          </w:tcPr>
          <w:p>
            <w:pPr>
              <w:spacing w:before="0" w:after="20" w:line="252" w:lineRule="auto"/>
            </w:pPr>
            <w:r>
              <w:rPr>
                <w:rFonts w:ascii="Arial" w:hAnsi="Arial"/>
                <w:b/>
                <w:color w:val="1D2D27"/>
                <w:sz w:val="20"/>
              </w:rPr>
              <w:t>Младший аналитик SOC L1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color w:val="275D4D"/>
                <w:sz w:val="17"/>
              </w:rPr>
              <w:t>UserGate</w:t>
            </w:r>
          </w:p>
        </w:tc>
        <w:tc>
          <w:tcPr>
            <w:tcW w:type="dxa" w:w="5074"/>
            <w:tcMar>
              <w:top w:w="35" w:type="dxa"/>
              <w:start w:w="100" w:type="dxa"/>
              <w:bottom w:w="25" w:type="dxa"/>
              <w:end w:w="0" w:type="dxa"/>
            </w:tcMar>
          </w:tcPr>
          <w:p>
            <w:pPr>
              <w:spacing w:before="0" w:after="0" w:line="252" w:lineRule="auto"/>
              <w:jc w:val="right"/>
            </w:pPr>
            <w:r>
              <w:rPr>
                <w:rFonts w:ascii="Arial" w:hAnsi="Arial"/>
                <w:b/>
                <w:color w:val="637069"/>
                <w:sz w:val="16"/>
              </w:rPr>
              <w:t>октябрь 2025 — настоящее время</w:t>
            </w:r>
          </w:p>
        </w:tc>
      </w:tr>
    </w:tbl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Получаю и самостоятельно разбираю алерты SIEM: определяю масштаб, закрываю либо эскалирую события и формирую рекомендации.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Пишу KQL-запросы и расследую события в Elastic.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Анализирую журналы Windows и Linux; участвовал в написании правил детектирования для Elastic.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94"/>
        <w:gridCol w:w="2324"/>
      </w:tblGrid>
      <w:tr>
        <w:trPr>
          <w:cantSplit/>
        </w:trPr>
        <w:tc>
          <w:tcPr>
            <w:tcW w:type="dxa" w:w="5074"/>
            <w:tcMar>
              <w:top w:w="35" w:type="dxa"/>
              <w:start w:w="0" w:type="dxa"/>
              <w:bottom w:w="25" w:type="dxa"/>
              <w:end w:w="100" w:type="dxa"/>
            </w:tcMar>
          </w:tcPr>
          <w:p>
            <w:pPr>
              <w:spacing w:before="0" w:after="20" w:line="252" w:lineRule="auto"/>
            </w:pPr>
            <w:r>
              <w:rPr>
                <w:rFonts w:ascii="Arial" w:hAnsi="Arial"/>
                <w:b/>
                <w:color w:val="1D2D27"/>
                <w:sz w:val="20"/>
              </w:rPr>
              <w:t>Участник команды #au.team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color w:val="275D4D"/>
                <w:sz w:val="17"/>
              </w:rPr>
              <w:t>Лаборатория сетей и систем передачи информации</w:t>
            </w:r>
          </w:p>
        </w:tc>
        <w:tc>
          <w:tcPr>
            <w:tcW w:type="dxa" w:w="5074"/>
            <w:tcMar>
              <w:top w:w="35" w:type="dxa"/>
              <w:start w:w="100" w:type="dxa"/>
              <w:bottom w:w="25" w:type="dxa"/>
              <w:end w:w="0" w:type="dxa"/>
            </w:tcMar>
          </w:tcPr>
          <w:p>
            <w:pPr>
              <w:spacing w:before="0" w:after="0" w:line="252" w:lineRule="auto"/>
              <w:jc w:val="right"/>
            </w:pPr>
            <w:r>
              <w:rPr>
                <w:rFonts w:ascii="Arial" w:hAnsi="Arial"/>
                <w:b/>
                <w:color w:val="637069"/>
                <w:sz w:val="16"/>
              </w:rPr>
              <w:t>июнь 2024 — настоящее время</w:t>
            </w:r>
          </w:p>
        </w:tc>
      </w:tr>
    </w:tbl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Исследую и администрирую учебные стенды по сетям и информационной безопасности.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Разрабатываю лабораторные работы и провожу занятия для студентов.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Разворачивал Windows-стенд во вложенной виртуализации VMware / VirtualBox и публиковал ресурсы для внутреннего использования.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994"/>
        <w:gridCol w:w="2324"/>
      </w:tblGrid>
      <w:tr>
        <w:trPr>
          <w:cantSplit/>
        </w:trPr>
        <w:tc>
          <w:tcPr>
            <w:tcW w:type="dxa" w:w="5074"/>
            <w:tcMar>
              <w:top w:w="35" w:type="dxa"/>
              <w:start w:w="0" w:type="dxa"/>
              <w:bottom w:w="25" w:type="dxa"/>
              <w:end w:w="100" w:type="dxa"/>
            </w:tcMar>
          </w:tcPr>
          <w:p>
            <w:pPr>
              <w:spacing w:before="0" w:after="20" w:line="252" w:lineRule="auto"/>
            </w:pPr>
            <w:r>
              <w:rPr>
                <w:rFonts w:ascii="Arial" w:hAnsi="Arial"/>
                <w:b/>
                <w:color w:val="1D2D27"/>
                <w:sz w:val="20"/>
              </w:rPr>
              <w:t>Эксперт компетенций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color w:val="275D4D"/>
                <w:sz w:val="17"/>
              </w:rPr>
              <w:t>Росатом · АтомЛаб · SHIFT</w:t>
            </w:r>
          </w:p>
        </w:tc>
        <w:tc>
          <w:tcPr>
            <w:tcW w:type="dxa" w:w="5074"/>
            <w:tcMar>
              <w:top w:w="35" w:type="dxa"/>
              <w:start w:w="100" w:type="dxa"/>
              <w:bottom w:w="25" w:type="dxa"/>
              <w:end w:w="0" w:type="dxa"/>
            </w:tcMar>
          </w:tcPr>
          <w:p>
            <w:pPr>
              <w:spacing w:before="0" w:after="0" w:line="252" w:lineRule="auto"/>
              <w:jc w:val="right"/>
            </w:pPr>
            <w:r>
              <w:rPr>
                <w:rFonts w:ascii="Arial" w:hAnsi="Arial"/>
                <w:b/>
                <w:color w:val="637069"/>
                <w:sz w:val="16"/>
              </w:rPr>
              <w:t>2024 — 2025</w:t>
            </w:r>
          </w:p>
        </w:tc>
      </w:tr>
    </w:tbl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Разрабатывал задания, проверял решения, оценивал и консультировал участников, проводил профильные занятия.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Направления работы: сетевое и системное администрирование, кибербезопасность и компьютерная криминалистика.</w:t>
      </w:r>
    </w:p>
    <w:p>
      <w:pPr>
        <w:spacing w:before="140" w:after="100" w:line="240" w:lineRule="auto"/>
        <w:keepNext/>
        <w:pBdr>
          <w:bottom w:val="single" w:sz="5" w:space="3" w:color="AEB8BD"/>
        </w:pBdr>
      </w:pPr>
      <w:r>
        <w:rPr>
          <w:rFonts w:ascii="Arial" w:hAnsi="Arial"/>
          <w:b/>
          <w:color w:val="1D2D27"/>
          <w:sz w:val="26"/>
        </w:rPr>
        <w:t>Образование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164"/>
        <w:gridCol w:w="2154"/>
      </w:tblGrid>
      <w:tr>
        <w:tc>
          <w:tcPr>
            <w:tcW w:type="dxa" w:w="5074"/>
            <w:tcMar>
              <w:top w:w="20" w:type="dxa"/>
              <w:start w:w="0" w:type="dxa"/>
              <w:bottom w:w="0" w:type="dxa"/>
              <w:end w:w="100" w:type="dxa"/>
            </w:tcMar>
          </w:tcPr>
          <w:p>
            <w:r>
              <w:rPr>
                <w:rFonts w:ascii="Arial" w:hAnsi="Arial"/>
                <w:b/>
                <w:color w:val="1D2D27"/>
                <w:sz w:val="19"/>
              </w:rPr>
              <w:t>РГУ нефти и газа (НИУ) имени И. М. Губкина</w:t>
            </w:r>
          </w:p>
          <w:p>
            <w:pPr>
              <w:spacing w:before="20" w:after="0" w:line="252" w:lineRule="auto"/>
            </w:pPr>
            <w:r>
              <w:rPr>
                <w:rFonts w:ascii="Arial" w:hAnsi="Arial"/>
                <w:b/>
                <w:color w:val="275D4D"/>
                <w:sz w:val="17"/>
              </w:rPr>
              <w:t>10.05.03 «Информационная безопасность автоматизированных систем», специалитет</w:t>
            </w:r>
          </w:p>
        </w:tc>
        <w:tc>
          <w:tcPr>
            <w:tcW w:type="dxa" w:w="5074"/>
            <w:tcMar>
              <w:top w:w="20" w:type="dxa"/>
              <w:start w:w="10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/>
                <w:b/>
                <w:color w:val="637069"/>
                <w:sz w:val="16"/>
              </w:rPr>
              <w:t>2021 — настоящее время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164"/>
        <w:gridCol w:w="2154"/>
      </w:tblGrid>
      <w:tr>
        <w:tc>
          <w:tcPr>
            <w:tcW w:type="dxa" w:w="5074"/>
            <w:tcMar>
              <w:top w:w="0" w:type="dxa"/>
              <w:start w:w="0" w:type="dxa"/>
              <w:bottom w:w="60" w:type="dxa"/>
              <w:end w:w="100" w:type="dxa"/>
            </w:tcMar>
          </w:tcPr>
          <w:p>
            <w:r>
              <w:rPr>
                <w:rFonts w:ascii="Arial" w:hAnsi="Arial"/>
                <w:b/>
                <w:color w:val="1D2D27"/>
                <w:sz w:val="22"/>
              </w:rPr>
              <w:t>Филипп Огородников</w:t>
            </w:r>
            <w:r>
              <w:rPr>
                <w:rFonts w:ascii="Arial" w:hAnsi="Arial"/>
                <w:b w:val="0"/>
                <w:color w:val="637069"/>
                <w:sz w:val="16"/>
              </w:rPr>
              <w:t xml:space="preserve">   Аналитик SOC L1 · DFIR · Pentest</w:t>
            </w:r>
          </w:p>
        </w:tc>
        <w:tc>
          <w:tcPr>
            <w:tcW w:type="dxa" w:w="5074"/>
            <w:tcMar>
              <w:top w:w="0" w:type="dxa"/>
              <w:start w:w="100" w:type="dxa"/>
              <w:bottom w:w="60" w:type="dxa"/>
              <w:end w:w="0" w:type="dxa"/>
            </w:tcMar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637069"/>
                <w:sz w:val="16"/>
              </w:rPr>
              <w:t>resume.scrock.ru</w:t>
            </w:r>
          </w:p>
        </w:tc>
      </w:tr>
    </w:tbl>
    <w:p>
      <w:pPr>
        <w:spacing w:before="0" w:after="40" w:line="252" w:lineRule="auto"/>
        <w:pBdr>
          <w:bottom w:val="single" w:sz="14" w:space="3" w:color="275D4D"/>
        </w:pBdr>
      </w:pPr>
    </w:p>
    <w:p>
      <w:pPr>
        <w:spacing w:before="140" w:after="100" w:line="240" w:lineRule="auto"/>
        <w:keepNext/>
        <w:pBdr>
          <w:bottom w:val="single" w:sz="5" w:space="3" w:color="AEB8BD"/>
        </w:pBdr>
      </w:pPr>
      <w:r>
        <w:rPr>
          <w:rFonts w:ascii="Arial" w:hAnsi="Arial"/>
          <w:b/>
          <w:color w:val="1D2D27"/>
          <w:sz w:val="26"/>
        </w:rPr>
        <w:t>Технические навыки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324"/>
        <w:gridCol w:w="7994"/>
      </w:tblGrid>
      <w:tr>
        <w:trPr>
          <w:cantSplit/>
        </w:trPr>
        <w:tc>
          <w:tcPr>
            <w:tcW w:type="dxa" w:w="2324"/>
            <w:tcMar>
              <w:top w:w="90" w:type="dxa"/>
              <w:start w:w="0" w:type="dxa"/>
              <w:bottom w:w="90" w:type="dxa"/>
              <w:end w:w="120" w:type="dxa"/>
            </w:tcMar>
            <w:tcBorders>
              <w:bottom w:val="single" w:sz="6" w:color="D8DFDB"/>
            </w:tcBorders>
          </w:tcPr>
          <w:p>
            <w:r>
              <w:rPr>
                <w:rFonts w:ascii="Arial" w:hAnsi="Arial"/>
                <w:b/>
                <w:color w:val="275D4D"/>
                <w:sz w:val="18"/>
              </w:rPr>
              <w:t>SOC и реагирование</w:t>
            </w:r>
          </w:p>
        </w:tc>
        <w:tc>
          <w:tcPr>
            <w:tcW w:type="dxa" w:w="7994"/>
            <w:tcMar>
              <w:top w:w="90" w:type="dxa"/>
              <w:start w:w="120" w:type="dxa"/>
              <w:bottom w:w="90" w:type="dxa"/>
              <w:end w:w="0" w:type="dxa"/>
            </w:tcMar>
            <w:tcBorders>
              <w:bottom w:val="single" w:sz="6" w:color="D8DFDB"/>
            </w:tcBorders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color w:val="30363B"/>
                <w:sz w:val="18"/>
              </w:rPr>
              <w:t>Разбор и реагирование на алерты; Elastic и KQL; анализ фишинга, подозрительных PDF и активности на конечных точках; сдерживание инцидентов; KUMA и PT MaxPatrol SIEM; KATA; журналы Windows и Linux; MITRE ATT&amp;CK.</w:t>
            </w:r>
          </w:p>
        </w:tc>
      </w:tr>
      <w:tr>
        <w:trPr>
          <w:cantSplit/>
        </w:trPr>
        <w:tc>
          <w:tcPr>
            <w:tcW w:type="dxa" w:w="2324"/>
            <w:tcMar>
              <w:top w:w="90" w:type="dxa"/>
              <w:start w:w="0" w:type="dxa"/>
              <w:bottom w:w="90" w:type="dxa"/>
              <w:end w:w="120" w:type="dxa"/>
            </w:tcMar>
            <w:tcBorders>
              <w:bottom w:val="single" w:sz="6" w:color="D8DFDB"/>
            </w:tcBorders>
          </w:tcPr>
          <w:p>
            <w:r>
              <w:rPr>
                <w:rFonts w:ascii="Arial" w:hAnsi="Arial"/>
                <w:b/>
                <w:color w:val="275D4D"/>
                <w:sz w:val="18"/>
              </w:rPr>
              <w:t>DFIR</w:t>
            </w:r>
          </w:p>
        </w:tc>
        <w:tc>
          <w:tcPr>
            <w:tcW w:type="dxa" w:w="7994"/>
            <w:tcMar>
              <w:top w:w="90" w:type="dxa"/>
              <w:start w:w="120" w:type="dxa"/>
              <w:bottom w:w="90" w:type="dxa"/>
              <w:end w:w="0" w:type="dxa"/>
            </w:tcMar>
            <w:tcBorders>
              <w:bottom w:val="single" w:sz="6" w:color="D8DFDB"/>
            </w:tcBorders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color w:val="30363B"/>
                <w:sz w:val="18"/>
              </w:rPr>
              <w:t>Артефакты Windows и браузеров; анализ файловых систем и восстановление данных; создание и проверка образов; Autopsy, FTK, Volatility; анализ памяти и подозрительных файлов; сохранение доказательств и отчёты.</w:t>
            </w:r>
          </w:p>
        </w:tc>
      </w:tr>
      <w:tr>
        <w:trPr>
          <w:cantSplit/>
        </w:trPr>
        <w:tc>
          <w:tcPr>
            <w:tcW w:type="dxa" w:w="2324"/>
            <w:tcMar>
              <w:top w:w="90" w:type="dxa"/>
              <w:start w:w="0" w:type="dxa"/>
              <w:bottom w:w="90" w:type="dxa"/>
              <w:end w:w="120" w:type="dxa"/>
            </w:tcMar>
            <w:tcBorders>
              <w:bottom w:val="single" w:sz="6" w:color="D8DFDB"/>
            </w:tcBorders>
          </w:tcPr>
          <w:p>
            <w:r>
              <w:rPr>
                <w:rFonts w:ascii="Arial" w:hAnsi="Arial"/>
                <w:b/>
                <w:color w:val="275D4D"/>
                <w:sz w:val="18"/>
              </w:rPr>
              <w:t>Pentest</w:t>
            </w:r>
          </w:p>
        </w:tc>
        <w:tc>
          <w:tcPr>
            <w:tcW w:type="dxa" w:w="7994"/>
            <w:tcMar>
              <w:top w:w="90" w:type="dxa"/>
              <w:start w:w="120" w:type="dxa"/>
              <w:bottom w:w="90" w:type="dxa"/>
              <w:end w:w="0" w:type="dxa"/>
            </w:tcMar>
            <w:tcBorders>
              <w:bottom w:val="single" w:sz="6" w:color="D8DFDB"/>
            </w:tcBorders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color w:val="30363B"/>
                <w:sz w:val="18"/>
              </w:rPr>
              <w:t>Практика на лабораторных стендах: разведка, ручное тестирование веб-приложений, эксплуатация, повышение привилегий, анализ и атаки на Active Directory, lateral movement, post-exploitation, закрепление и подготовка отчётов.</w:t>
            </w:r>
          </w:p>
        </w:tc>
      </w:tr>
      <w:tr>
        <w:trPr>
          <w:cantSplit/>
        </w:trPr>
        <w:tc>
          <w:tcPr>
            <w:tcW w:type="dxa" w:w="2324"/>
            <w:tcMar>
              <w:top w:w="90" w:type="dxa"/>
              <w:start w:w="0" w:type="dxa"/>
              <w:bottom w:w="90" w:type="dxa"/>
              <w:end w:w="120" w:type="dxa"/>
            </w:tcMar>
            <w:tcBorders>
              <w:bottom w:val="single" w:sz="6" w:color="D8DFDB"/>
            </w:tcBorders>
          </w:tcPr>
          <w:p>
            <w:r>
              <w:rPr>
                <w:rFonts w:ascii="Arial" w:hAnsi="Arial"/>
                <w:b/>
                <w:color w:val="275D4D"/>
                <w:sz w:val="18"/>
              </w:rPr>
              <w:t>Системы и сети</w:t>
            </w:r>
          </w:p>
        </w:tc>
        <w:tc>
          <w:tcPr>
            <w:tcW w:type="dxa" w:w="7994"/>
            <w:tcMar>
              <w:top w:w="90" w:type="dxa"/>
              <w:start w:w="120" w:type="dxa"/>
              <w:bottom w:w="90" w:type="dxa"/>
              <w:end w:w="0" w:type="dxa"/>
            </w:tcMar>
            <w:tcBorders>
              <w:bottom w:val="single" w:sz="6" w:color="D8DFDB"/>
            </w:tcBorders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color w:val="30363B"/>
                <w:sz w:val="18"/>
              </w:rPr>
              <w:t>Linux и российские ОС; Windows и Active Directory; усиление защищённости систем; TCP/IP, VLAN, STP, маршрутизация, DNS, DHCP, NAT, VPN, Wireshark; администрирование NGFW; виртуальные лаборатории; базовое знакомство с облаками.</w:t>
            </w:r>
          </w:p>
        </w:tc>
      </w:tr>
      <w:tr>
        <w:trPr>
          <w:cantSplit/>
        </w:trPr>
        <w:tc>
          <w:tcPr>
            <w:tcW w:type="dxa" w:w="2324"/>
            <w:tcMar>
              <w:top w:w="90" w:type="dxa"/>
              <w:start w:w="0" w:type="dxa"/>
              <w:bottom w:w="90" w:type="dxa"/>
              <w:end w:w="120" w:type="dxa"/>
            </w:tcMar>
            <w:tcBorders>
              <w:bottom w:val="single" w:sz="6" w:color="D8DFDB"/>
            </w:tcBorders>
          </w:tcPr>
          <w:p>
            <w:r>
              <w:rPr>
                <w:rFonts w:ascii="Arial" w:hAnsi="Arial"/>
                <w:b/>
                <w:color w:val="275D4D"/>
                <w:sz w:val="18"/>
              </w:rPr>
              <w:t>Автоматизация</w:t>
            </w:r>
          </w:p>
        </w:tc>
        <w:tc>
          <w:tcPr>
            <w:tcW w:type="dxa" w:w="7994"/>
            <w:tcMar>
              <w:top w:w="90" w:type="dxa"/>
              <w:start w:w="120" w:type="dxa"/>
              <w:bottom w:w="90" w:type="dxa"/>
              <w:end w:w="0" w:type="dxa"/>
            </w:tcMar>
            <w:tcBorders>
              <w:bottom w:val="single" w:sz="6" w:color="D8DFDB"/>
            </w:tcBorders>
          </w:tcPr>
          <w:p>
            <w:pPr>
              <w:spacing w:before="0" w:after="0" w:line="259" w:lineRule="auto"/>
            </w:pPr>
            <w:r>
              <w:rPr>
                <w:rFonts w:ascii="Arial" w:hAnsi="Arial"/>
                <w:b w:val="0"/>
                <w:color w:val="30363B"/>
                <w:sz w:val="18"/>
              </w:rPr>
              <w:t>Скрипты на Python и Bash для рабочих и лабораторных задач; интеграции систем безопасности и обогащение событий через API; PowerShell и SQL; Docker и Git; базовое знакомство с Ansible, Terraform и CI/CD.</w:t>
            </w:r>
          </w:p>
        </w:tc>
      </w:tr>
    </w:tbl>
    <w:p>
      <w:pPr>
        <w:spacing w:before="140" w:after="100" w:line="240" w:lineRule="auto"/>
        <w:keepNext/>
        <w:pBdr>
          <w:bottom w:val="single" w:sz="5" w:space="3" w:color="AEB8BD"/>
        </w:pBdr>
      </w:pPr>
      <w:r>
        <w:rPr>
          <w:rFonts w:ascii="Arial" w:hAnsi="Arial"/>
          <w:b/>
          <w:color w:val="1D2D27"/>
          <w:sz w:val="26"/>
        </w:rPr>
        <w:t>Достижения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Кандидат в мастера спорта по спортивному программированию, приказ № 186 от 18 июня 2026 года.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2 место на Кубке России 2026 года по спортивному программированию в дисциплине «программирование продуктовое».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1 место в соревнованиях по информационной безопасности Consyst-CTF, 2025 год.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4 научные публикации по инфраструктуре киберполигона, российским ОС и информационной безопасности.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Более 40 соревновательных и экспертных событий в информационной безопасности и системном администрировании.</w:t>
      </w:r>
    </w:p>
    <w:p>
      <w:pPr>
        <w:spacing w:before="140" w:after="100" w:line="240" w:lineRule="auto"/>
        <w:keepNext/>
        <w:pBdr>
          <w:bottom w:val="single" w:sz="5" w:space="3" w:color="AEB8BD"/>
        </w:pBdr>
      </w:pPr>
      <w:r>
        <w:rPr>
          <w:rFonts w:ascii="Arial" w:hAnsi="Arial"/>
          <w:b/>
          <w:color w:val="1D2D27"/>
          <w:sz w:val="26"/>
        </w:rPr>
        <w:t>Дополнительное обучение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Школа преподавателей кибербезопасности Positive Technologies, 2024–2025.</w:t>
      </w:r>
    </w:p>
    <w:p>
      <w:pPr>
        <w:pStyle w:val="ListBullet"/>
        <w:spacing w:before="0" w:after="30" w:line="250" w:lineRule="auto"/>
        <w:ind w:left="312" w:hanging="142"/>
      </w:pPr>
      <w:r>
        <w:rPr>
          <w:rFonts w:ascii="Arial" w:hAnsi="Arial"/>
          <w:b w:val="0"/>
          <w:color w:val="30363B"/>
          <w:sz w:val="18"/>
        </w:rPr>
        <w:t>Курсы и практические программы по Astra Linux, Альт, РЕД ОС, ROSA Linux, сетевому администрированию, PT Network Attack Discovery и NGFW.</w:t>
      </w:r>
    </w:p>
    <w:p>
      <w:pPr>
        <w:spacing w:before="140" w:after="100" w:line="240" w:lineRule="auto"/>
        <w:keepNext/>
        <w:pBdr>
          <w:bottom w:val="single" w:sz="5" w:space="3" w:color="AEB8BD"/>
        </w:pBdr>
      </w:pPr>
      <w:r>
        <w:rPr>
          <w:rFonts w:ascii="Arial" w:hAnsi="Arial"/>
          <w:b/>
          <w:color w:val="1D2D27"/>
          <w:sz w:val="26"/>
        </w:rPr>
        <w:t>Дополнительная информация</w:t>
      </w:r>
    </w:p>
    <w:p>
      <w:pPr>
        <w:spacing w:before="0" w:after="30" w:line="252" w:lineRule="auto"/>
      </w:pPr>
      <w:r>
        <w:rPr>
          <w:rFonts w:ascii="Arial" w:hAnsi="Arial"/>
          <w:b/>
          <w:color w:val="1D2D27"/>
          <w:sz w:val="18"/>
        </w:rPr>
        <w:t xml:space="preserve">Английский: </w:t>
      </w:r>
      <w:r>
        <w:rPr>
          <w:rFonts w:ascii="Arial" w:hAnsi="Arial"/>
          <w:b w:val="0"/>
          <w:color w:val="30363B"/>
          <w:sz w:val="18"/>
        </w:rPr>
        <w:t>B1, чтение технической документации</w:t>
      </w:r>
    </w:p>
    <w:p>
      <w:pPr>
        <w:spacing w:before="0" w:after="30" w:line="252" w:lineRule="auto"/>
      </w:pPr>
      <w:r>
        <w:rPr>
          <w:rFonts w:ascii="Arial" w:hAnsi="Arial"/>
          <w:b/>
          <w:color w:val="1D2D27"/>
          <w:sz w:val="18"/>
        </w:rPr>
        <w:t xml:space="preserve">Формат работы: </w:t>
      </w:r>
      <w:r>
        <w:rPr>
          <w:rFonts w:ascii="Arial" w:hAnsi="Arial"/>
          <w:b w:val="0"/>
          <w:color w:val="30363B"/>
          <w:sz w:val="18"/>
        </w:rPr>
        <w:t>удалённый / гибридный</w:t>
      </w:r>
    </w:p>
    <w:p>
      <w:pPr>
        <w:spacing w:before="0" w:after="30" w:line="252" w:lineRule="auto"/>
      </w:pPr>
      <w:r>
        <w:rPr>
          <w:rFonts w:ascii="Arial" w:hAnsi="Arial"/>
          <w:b/>
          <w:color w:val="1D2D27"/>
          <w:sz w:val="18"/>
        </w:rPr>
        <w:t xml:space="preserve">Дата рождения: </w:t>
      </w:r>
      <w:r>
        <w:rPr>
          <w:rFonts w:ascii="Arial" w:hAnsi="Arial"/>
          <w:b w:val="0"/>
          <w:color w:val="30363B"/>
          <w:sz w:val="18"/>
        </w:rPr>
        <w:t>22.02.2003</w:t>
      </w:r>
    </w:p>
    <w:p>
      <w:pPr>
        <w:spacing w:before="0" w:after="30" w:line="252" w:lineRule="auto"/>
      </w:pPr>
      <w:r>
        <w:rPr>
          <w:rFonts w:ascii="Arial" w:hAnsi="Arial"/>
          <w:b/>
          <w:color w:val="1D2D27"/>
          <w:sz w:val="18"/>
        </w:rPr>
        <w:t xml:space="preserve">Подтверждающие документы: </w:t>
      </w:r>
      <w:r>
        <w:rPr>
          <w:rFonts w:ascii="Arial" w:hAnsi="Arial"/>
          <w:b w:val="0"/>
          <w:color w:val="30363B"/>
          <w:sz w:val="18"/>
        </w:rPr>
        <w:t>https://resume.scrock.ru/it-path</w:t>
      </w:r>
    </w:p>
    <w:sectPr w:rsidR="00FC693F" w:rsidRPr="0006063C" w:rsidSect="00034616">
      <w:footerReference w:type="default" r:id="rId9"/>
      <w:pgSz w:w="11906" w:h="16838"/>
      <w:pgMar w:top="709" w:right="879" w:bottom="680" w:left="879" w:header="72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637069"/>
        <w:sz w:val="15"/>
      </w:rPr>
      <w:t xml:space="preserve">Филипп Огородников  ·  resume.scrock.ru  ·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Филиппа Огородникова</dc:title>
  <dc:subject>SOC L1, DFIR, Pentest</dc:subject>
  <dc:creator>Филипп Огородников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